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4347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34721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20" w:space="340"/>
            <w:col w:w="8400"/>
          </w:cols>
          <w:pgMar w:left="460" w:top="215" w:right="379" w:bottom="144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Anand Kapila K</w:t>
              </w:r>
            </w:hyperlink>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Elanco Animal Health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ELAN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166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1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ELANCO ANIMAL HEALTH</w:t>
            </w:r>
          </w:p>
        </w:tc>
        <w:tc>
          <w:tcPr>
            <w:tcW w:w="1220" w:type="dxa"/>
            <w:vAlign w:val="bottom"/>
          </w:tcPr>
          <w:p>
            <w:pPr>
              <w:spacing w:after="0"/>
              <w:rPr>
                <w:sz w:val="19"/>
                <w:szCs w:val="19"/>
                <w:color w:val="auto"/>
              </w:rPr>
            </w:pPr>
          </w:p>
        </w:tc>
        <w:tc>
          <w:tcPr>
            <w:tcW w:w="226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0000FF"/>
              </w:rPr>
              <w:t>06/30/2026</w:t>
            </w:r>
          </w:p>
        </w:tc>
        <w:tc>
          <w:tcPr>
            <w:tcW w:w="16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INCORPORATED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450 ELANCO CIRCLE</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gridSpan w:val="3"/>
            <w:vMerge w:val="continue"/>
          </w:tcPr>
          <w:p>
            <w:pPr>
              <w:spacing w:after="0"/>
              <w:rPr>
                <w:sz w:val="6"/>
                <w:szCs w:val="6"/>
                <w:color w:val="auto"/>
              </w:rPr>
            </w:pPr>
          </w:p>
        </w:tc>
        <w:tc>
          <w:tcPr>
            <w:tcW w:w="33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Line)</w:t>
            </w: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840" w:type="dxa"/>
            <w:vAlign w:val="bottom"/>
            <w:gridSpan w:val="3"/>
            <w:vMerge w:val="restart"/>
          </w:tcPr>
          <w:p>
            <w:pPr>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840" w:type="dxa"/>
            <w:vAlign w:val="bottom"/>
            <w:gridSpan w:val="3"/>
            <w:vMerge w:val="continue"/>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INDIANAPOLIS IN</w:t>
            </w:r>
          </w:p>
        </w:tc>
        <w:tc>
          <w:tcPr>
            <w:tcW w:w="12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46221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300" w:type="dxa"/>
            <w:vAlign w:val="bottom"/>
            <w:gridSpan w:val="2"/>
          </w:tcPr>
          <w:p>
            <w:pPr>
              <w:ind w:left="600"/>
              <w:spacing w:after="0"/>
              <w:rPr>
                <w:sz w:val="20"/>
                <w:szCs w:val="20"/>
                <w:color w:val="auto"/>
              </w:rPr>
            </w:pPr>
            <w:r>
              <w:rPr>
                <w:rFonts w:ascii="Arial" w:cs="Arial" w:eastAsia="Arial" w:hAnsi="Arial"/>
                <w:sz w:val="13"/>
                <w:szCs w:val="13"/>
                <w:color w:val="auto"/>
                <w:w w:val="99"/>
              </w:rPr>
              <w:t>Form filed by More than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2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6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6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 and 5)</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86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18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6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24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8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Deferred</w:t>
            </w:r>
          </w:p>
        </w:tc>
        <w:tc>
          <w:tcPr>
            <w:tcW w:w="6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vMerge w:val="restart"/>
          </w:tcPr>
          <w:p>
            <w:pPr>
              <w:jc w:val="center"/>
              <w:ind w:left="37"/>
              <w:spacing w:after="0"/>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584.1121</w:t>
            </w:r>
          </w:p>
        </w:tc>
        <w:tc>
          <w:tcPr>
            <w:tcW w:w="760" w:type="dxa"/>
            <w:vAlign w:val="bottom"/>
            <w:vMerge w:val="restart"/>
          </w:tcPr>
          <w:p>
            <w:pPr>
              <w:jc w:val="right"/>
              <w:ind w:right="44"/>
              <w:spacing w:after="0"/>
              <w:rPr>
                <w:sz w:val="20"/>
                <w:szCs w:val="20"/>
                <w:color w:val="auto"/>
              </w:rPr>
            </w:pPr>
            <w:r>
              <w:rPr>
                <w:rFonts w:ascii="Arial" w:cs="Arial" w:eastAsia="Arial" w:hAnsi="Arial"/>
                <w:sz w:val="11"/>
                <w:szCs w:val="11"/>
                <w:color w:val="auto"/>
                <w:w w:val="99"/>
              </w:rPr>
              <w:t>$</w:t>
            </w:r>
            <w:r>
              <w:rPr>
                <w:rFonts w:ascii="Times New Roman" w:cs="Times New Roman" w:eastAsia="Times New Roman" w:hAnsi="Times New Roman"/>
                <w:sz w:val="12"/>
                <w:szCs w:val="12"/>
                <w:color w:val="0000FF"/>
                <w:w w:val="99"/>
              </w:rPr>
              <w:t>24.61</w:t>
            </w:r>
            <w:r>
              <w:rPr>
                <w:rFonts w:ascii="Times New Roman" w:cs="Times New Roman" w:eastAsia="Times New Roman" w:hAnsi="Times New Roman"/>
                <w:sz w:val="20"/>
                <w:szCs w:val="20"/>
                <w:color w:val="008000"/>
                <w:w w:val="99"/>
                <w:vertAlign w:val="superscript"/>
              </w:rPr>
              <w:t>(2)(3)</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20" w:type="dxa"/>
            <w:vAlign w:val="bottom"/>
          </w:tcPr>
          <w:p>
            <w:pPr>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008000"/>
              </w:rPr>
              <w:t>(3)</w:t>
            </w:r>
          </w:p>
        </w:tc>
        <w:tc>
          <w:tcPr>
            <w:tcW w:w="1580" w:type="dxa"/>
            <w:vAlign w:val="bottom"/>
          </w:tcPr>
          <w:p>
            <w:pPr>
              <w:jc w:val="right"/>
              <w:ind w:right="657"/>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0000FF"/>
              </w:rPr>
              <w:t>584.1121</w:t>
            </w:r>
          </w:p>
        </w:tc>
        <w:tc>
          <w:tcPr>
            <w:tcW w:w="780" w:type="dxa"/>
            <w:vAlign w:val="bottom"/>
          </w:tcPr>
          <w:p>
            <w:pPr>
              <w:jc w:val="right"/>
              <w:ind w:right="268"/>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right"/>
              <w:ind w:right="128"/>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0000FF"/>
              </w:rPr>
              <w:t>10,079.5639</w:t>
            </w:r>
          </w:p>
        </w:tc>
        <w:tc>
          <w:tcPr>
            <w:tcW w:w="320" w:type="dxa"/>
            <w:vAlign w:val="bottom"/>
          </w:tcPr>
          <w:p>
            <w:pPr>
              <w:ind w:left="240"/>
              <w:spacing w:after="0"/>
              <w:rPr>
                <w:sz w:val="20"/>
                <w:szCs w:val="20"/>
                <w:color w:val="auto"/>
              </w:rPr>
            </w:pPr>
            <w:r>
              <w:rPr>
                <w:rFonts w:ascii="Times New Roman" w:cs="Times New Roman" w:eastAsia="Times New Roman" w:hAnsi="Times New Roman"/>
                <w:sz w:val="11"/>
                <w:szCs w:val="11"/>
                <w:color w:val="0000FF"/>
                <w:w w:val="74"/>
              </w:rPr>
              <w:t>D</w:t>
            </w:r>
          </w:p>
        </w:tc>
        <w:tc>
          <w:tcPr>
            <w:tcW w:w="0" w:type="dxa"/>
            <w:vAlign w:val="bottom"/>
          </w:tcPr>
          <w:p>
            <w:pPr>
              <w:spacing w:after="0"/>
              <w:rPr>
                <w:sz w:val="1"/>
                <w:szCs w:val="1"/>
                <w:color w:val="auto"/>
              </w:rPr>
            </w:pPr>
          </w:p>
        </w:tc>
      </w:tr>
      <w:tr>
        <w:trPr>
          <w:trHeight w:val="138"/>
        </w:trPr>
        <w:tc>
          <w:tcPr>
            <w:tcW w:w="720" w:type="dxa"/>
            <w:vAlign w:val="bottom"/>
            <w:vMerge w:val="restart"/>
          </w:tcPr>
          <w:p>
            <w:pPr>
              <w:spacing w:after="0" w:line="275" w:lineRule="exact"/>
              <w:rPr>
                <w:sz w:val="20"/>
                <w:szCs w:val="20"/>
                <w:color w:val="auto"/>
              </w:rPr>
            </w:pPr>
            <w:r>
              <w:rPr>
                <w:rFonts w:ascii="Times New Roman" w:cs="Times New Roman" w:eastAsia="Times New Roman" w:hAnsi="Times New Roman"/>
                <w:sz w:val="25"/>
                <w:szCs w:val="25"/>
                <w:color w:val="0000FF"/>
                <w:vertAlign w:val="subscript"/>
              </w:rPr>
              <w:t>Units</w:t>
            </w:r>
            <w:r>
              <w:rPr>
                <w:rFonts w:ascii="Times New Roman" w:cs="Times New Roman" w:eastAsia="Times New Roman" w:hAnsi="Times New Roman"/>
                <w:sz w:val="10"/>
                <w:szCs w:val="10"/>
                <w:color w:val="008000"/>
              </w:rPr>
              <w:t>(1)(2)</w:t>
            </w:r>
          </w:p>
        </w:tc>
        <w:tc>
          <w:tcPr>
            <w:tcW w:w="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jc w:val="center"/>
              <w:ind w:left="37"/>
              <w:spacing w:after="0" w:line="138" w:lineRule="exact"/>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26" w:lineRule="exact"/>
        <w:rPr>
          <w:sz w:val="20"/>
          <w:szCs w:val="20"/>
          <w:color w:val="auto"/>
        </w:rPr>
      </w:pPr>
    </w:p>
    <w:p>
      <w:pPr>
        <w:ind w:left="40" w:right="220" w:hanging="2"/>
        <w:spacing w:after="0" w:line="244"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Ms. Anand elected to defer her director cash retainer fees pursuant to the Company's Directors' Deferral Plan (the "Plan") and such deferred fees were credited to the Elanco Deferred Stock Account under the Plan. Each Deferred Stock Unit is the economic equivalent of one share of Elanco common stock.</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Stock Units will be settled in stock upon the reporting person's separation of service from the Company's Board of Directors pursuant to the Plan.</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Deferred Stock Units issued is the amount of cash compensation deferred divided by the closing price of a share of Elanco common stock on the grant date, which was $24.61 on June 30, 2026.</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Amy C. Seidel, as Attorney-</w:t>
            </w:r>
          </w:p>
        </w:tc>
        <w:tc>
          <w:tcPr>
            <w:tcW w:w="8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w w:val="98"/>
              </w:rPr>
              <w:t>07/02/2026</w:t>
            </w:r>
          </w:p>
        </w:tc>
        <w:tc>
          <w:tcPr>
            <w:tcW w:w="0" w:type="dxa"/>
            <w:vAlign w:val="bottom"/>
          </w:tcPr>
          <w:p>
            <w:pPr>
              <w:spacing w:after="0"/>
              <w:rPr>
                <w:sz w:val="1"/>
                <w:szCs w:val="1"/>
                <w:color w:val="auto"/>
              </w:rPr>
            </w:pPr>
          </w:p>
        </w:tc>
      </w:tr>
      <w:tr>
        <w:trPr>
          <w:trHeight w:val="80"/>
        </w:trPr>
        <w:tc>
          <w:tcPr>
            <w:tcW w:w="184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in-Fact for Kapila K. Anand</w:t>
            </w:r>
          </w:p>
        </w:tc>
        <w:tc>
          <w:tcPr>
            <w:tcW w:w="28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840" w:type="dxa"/>
            <w:vAlign w:val="bottom"/>
            <w:tcBorders>
              <w:bottom w:val="single" w:sz="8" w:color="auto"/>
            </w:tcBorders>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78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60"/>
      </w:cols>
      <w:pgMar w:left="460" w:top="21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9166" TargetMode="External"/><Relationship Id="rId14" Type="http://schemas.openxmlformats.org/officeDocument/2006/relationships/hyperlink" Target="http://www.sec.gov/cgi-bin/browse-edgar?action=getcompany&amp;CIK=00017391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2026-07-02T16:04:25Z</dcterms:created>
  <dcterms:modified xsi:type="dcterms:W3CDTF">2026-07-02T16:04:25Z</dcterms:modified>
</cp:coreProperties>
</file>