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22026_080956.xml.htm"/>
      <w:bookmarkStart w:id="1" w:name="ksform409222026_08095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VanHimbergen Robert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8.7877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8.7877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22.42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158.6535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Company common stock or the cash equivalent.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stock units settle in cash or shares of Company common stock following termination of employment or during a specified future year in accordance with Executive Deferral and Stock Match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Robert M. VanHimbergen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4169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3428</Characters>
  <CharactersWithSpaces>3987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