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4495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49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Modi Rajeev A.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Elanco Animal Health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ELAN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ELANCO ANIMAL HEALTH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INCORPORATED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 ELANCO CIRCLE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INDIANAPOLIS IN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60.1111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60.1111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24.57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9,523.1312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-1748155</wp:posOffset>
            </wp:positionV>
            <wp:extent cx="29210" cy="1753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5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Company common stock or the cash equivalent.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settle in cash or shares of Company common stock following termination of employment or during a specified future year in accordance with Executive Deferral and Stock Match Plan.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Executive Vice President U.S. Pet Health and Global Digital Transformation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as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7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Rajeev A. Modi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-21590</wp:posOffset>
            </wp:positionV>
            <wp:extent cx="1151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0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473" TargetMode="External"/><Relationship Id="rId14" Type="http://schemas.openxmlformats.org/officeDocument/2006/relationships/hyperlink" Target="http://www.sec.gov/cgi-bin/browse-edgar?action=getcompany&amp;CIK=0001739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2026-06-30T15:41:19Z</dcterms:created>
  <dcterms:modified xsi:type="dcterms:W3CDTF">2026-06-30T15:41:19Z</dcterms:modified>
</cp:coreProperties>
</file>