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62026_081016.xml.htm"/>
      <w:bookmarkStart w:id="1" w:name="ksform410062026_0810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Modi Rajeev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ELANCO ANIMAL HEALTH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 ELANCO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Elanco Animal Health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ELAN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66.7087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66.7087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22.14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9,963.1794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the right to receive one share of Company common stock or the cash equivalent.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Deferred stock units settle in cash or shares of Company common stock following termination of employment or during a specified future year in accordance with Executive Deferral and Stock Match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Executive Vice President U.S. Pet Health and Global Digital Transformation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C. Seidel, as Attorney-in-Fact for Rajeev A. Modi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6473" TargetMode="External"/><Relationship Id="rId5" Type="http://schemas.openxmlformats.org/officeDocument/2006/relationships/hyperlink" Target="http://www.sec.gov/cgi-bin/browse-edgar?action=getcompany&amp;CIK=00017391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642</Words>
  <Characters>3491</Characters>
  <CharactersWithSpaces>4058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