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21,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Elanco Animal Health Incorporated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89" w:right="339" w:bottom="1440" w:gutter="0" w:footer="0" w:header="0"/>
        </w:sectPr>
      </w:pPr>
    </w:p>
    <w:p>
      <w:pPr>
        <w:spacing w:after="0" w:line="20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Indiana</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001-38661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82-5497352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689"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450 Elanco Circle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Indianapolis, Indiana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46221</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8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 352-6261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207"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1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1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1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21"/>
        <w:spacing w:after="0" w:line="498"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ELAN</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580" w:hanging="248"/>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Elanco Animal Health Incorporated (the “Company”) held its annual meeting of shareholders on May 21, 2026. Voting results for each matter submitted to a vote at the 2026 annual meeting are provided below.</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Election of Directors. All of the nominees nominated by the Board for director were elected to serve for a one-year term ending at the 2027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shareholders and until their respective successors are elected and qualified, by the votes set forth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I Nominees</w:t>
            </w: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Kapila K. Anand</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375,459,071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91,840,502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655,918</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15,365,167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Herendeen</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441,252,058</w:t>
            </w:r>
          </w:p>
        </w:tc>
        <w:tc>
          <w:tcPr>
            <w:tcW w:w="2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26,575,629</w:t>
            </w:r>
          </w:p>
        </w:tc>
        <w:tc>
          <w:tcPr>
            <w:tcW w:w="22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127,804</w:t>
            </w:r>
          </w:p>
        </w:tc>
        <w:tc>
          <w:tcPr>
            <w:tcW w:w="22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15,365,167</w:t>
            </w:r>
          </w:p>
        </w:tc>
        <w:tc>
          <w:tcPr>
            <w:tcW w:w="100" w:type="dxa"/>
            <w:vAlign w:val="bottom"/>
          </w:tcPr>
          <w:p>
            <w:pPr>
              <w:spacing w:after="0"/>
              <w:rPr>
                <w:sz w:val="20"/>
                <w:szCs w:val="20"/>
                <w:color w:val="auto"/>
              </w:rPr>
            </w:pPr>
          </w:p>
        </w:tc>
      </w:tr>
      <w:tr>
        <w:trPr>
          <w:trHeight w:val="42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II Nominees</w:t>
            </w: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Harrington</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373,406,333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94,421,261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127,897</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15,365,167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Kurzius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442,964,897</w:t>
            </w:r>
          </w:p>
        </w:tc>
        <w:tc>
          <w:tcPr>
            <w:tcW w:w="2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24,863,542</w:t>
            </w:r>
          </w:p>
        </w:tc>
        <w:tc>
          <w:tcPr>
            <w:tcW w:w="22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127,052</w:t>
            </w:r>
          </w:p>
        </w:tc>
        <w:tc>
          <w:tcPr>
            <w:tcW w:w="22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15,365,167</w:t>
            </w:r>
          </w:p>
        </w:tc>
        <w:tc>
          <w:tcPr>
            <w:tcW w:w="10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Kirk McDonald</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440,842,458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26,978,663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134,370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15,365,167</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 shareholders ratified the appointment of Ernst &amp; Young LLP as Elanco’s independent registered public accounting firm for 2026,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votes set forth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18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480,470,647</w:t>
            </w:r>
          </w:p>
        </w:tc>
        <w:tc>
          <w:tcPr>
            <w:tcW w:w="1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2,611,450</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238,561</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The shareholders approved, by non-binding vote, the compensation of Elanco’s named executive officers, by the votes set forth in the 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1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2260" w:type="dxa"/>
            <w:vAlign w:val="bottom"/>
          </w:tcPr>
          <w:p>
            <w:pPr>
              <w:spacing w:after="0"/>
              <w:rPr>
                <w:sz w:val="20"/>
                <w:szCs w:val="20"/>
                <w:color w:val="auto"/>
              </w:rPr>
            </w:pPr>
          </w:p>
        </w:tc>
      </w:tr>
      <w:tr>
        <w:trPr>
          <w:trHeight w:val="210"/>
        </w:trPr>
        <w:tc>
          <w:tcPr>
            <w:tcW w:w="216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383,528,222</w:t>
            </w:r>
          </w:p>
        </w:tc>
        <w:tc>
          <w:tcPr>
            <w:tcW w:w="2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84,173,798</w:t>
            </w:r>
          </w:p>
        </w:tc>
        <w:tc>
          <w:tcPr>
            <w:tcW w:w="1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253,471</w:t>
            </w:r>
          </w:p>
        </w:tc>
        <w:tc>
          <w:tcPr>
            <w:tcW w:w="1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15,365,167</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675"/>
        </w:trPr>
        <w:tc>
          <w:tcPr>
            <w:tcW w:w="2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212529"/>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Elanco Animal Health Incorporated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/s/ Shiv O’Neill</w:t>
            </w:r>
          </w:p>
        </w:tc>
      </w:tr>
      <w:tr>
        <w:trPr>
          <w:trHeight w:val="189"/>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Name: </w:t>
            </w:r>
            <w:r>
              <w:rPr>
                <w:rFonts w:ascii="Times New Roman" w:cs="Times New Roman" w:eastAsia="Times New Roman" w:hAnsi="Times New Roman"/>
                <w:sz w:val="18"/>
                <w:szCs w:val="18"/>
                <w:color w:val="auto"/>
              </w:rPr>
              <w:t>Shiv O’Neill</w:t>
            </w:r>
          </w:p>
        </w:tc>
      </w:tr>
      <w:tr>
        <w:trPr>
          <w:trHeight w:val="218"/>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Executive Vice President, General Counsel and Corporate</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2026-05-27T17:11:36Z</dcterms:created>
  <dcterms:modified xsi:type="dcterms:W3CDTF">2026-05-27T17:11:36Z</dcterms:modified>
</cp:coreProperties>
</file>