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80841.xml.htm"/>
      <w:bookmarkStart w:id="1" w:name="ksform408212026_0808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Kurzius Lawrence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ELANCO ANIMAL HEALTH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ELANCO CIRCLE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Elanco Animal Health Inc</w:t>
              </w:r>
            </w:hyperlink>
            <w:r>
              <w:rPr/>
              <w:t xml:space="preserve"> [ </w:t>
            </w:r>
            <w:r>
              <w:rPr>
                <w:rFonts w:ascii="Times;serif" w:hAnsi="Times;serif"/>
                <w:color w:val="0000FF"/>
                <w:sz w:val="24"/>
                <w:shd w:fill="FFFFFF" w:val="clear"/>
              </w:rPr>
              <w:t>ELAN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23.398</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188,647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weighted average price of 40,000 shares of common stock of Elanco Animal Health Inc. purchased by the reporting person in multiple transactions on August 20, 2026 with purchase prices ranging from $23.385 to $23.40 per share. The reporting person undertakes to provide upon request by the U.S. Securities and Exchange Commission staff, the issuer, or a security holder of the issuer, full information regarding the number of shares purchased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 Seidel, as Attorney-in-Fact for Lawrence Kurzius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2090" TargetMode="External"/><Relationship Id="rId5" Type="http://schemas.openxmlformats.org/officeDocument/2006/relationships/hyperlink" Target="http://www.sec.gov/cgi-bin/browse-edgar?action=getcompany&amp;CIK=00017391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3522</Characters>
  <CharactersWithSpaces>4101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